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85F" w:rsidRPr="00351318" w:rsidRDefault="0035131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351318">
        <w:rPr>
          <w:rFonts w:asciiTheme="minorEastAsia" w:hAnsiTheme="minorEastAsia" w:hint="eastAsia"/>
          <w:sz w:val="28"/>
          <w:szCs w:val="28"/>
        </w:rPr>
        <w:t>附件</w:t>
      </w:r>
      <w:r w:rsidR="00C03C34">
        <w:rPr>
          <w:rFonts w:asciiTheme="minorEastAsia" w:hAnsiTheme="minorEastAsia" w:hint="eastAsia"/>
          <w:sz w:val="28"/>
          <w:szCs w:val="28"/>
        </w:rPr>
        <w:t>6</w:t>
      </w:r>
    </w:p>
    <w:p w:rsidR="0064285F" w:rsidRDefault="00021D7C" w:rsidP="00351318">
      <w:pPr>
        <w:spacing w:beforeLines="100" w:before="312" w:afterLines="150" w:after="468" w:line="360" w:lineRule="auto"/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 xml:space="preserve"> </w:t>
      </w:r>
      <w:r>
        <w:rPr>
          <w:rFonts w:hint="eastAsia"/>
          <w:b/>
          <w:bCs/>
          <w:sz w:val="40"/>
          <w:szCs w:val="48"/>
        </w:rPr>
        <w:t>项目支出定额标准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项目支出定额标准包括:</w:t>
      </w:r>
    </w:p>
    <w:p w:rsidR="0064285F" w:rsidRDefault="00021D7C">
      <w:p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一、大型会议培训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会议费实行会前预算、总额控制的管理办法。会议费开支范围包括会议住宿费、伙食费、会议室租金、交通费、文件印刷费等。交通费是指用于会议代表接送等会务需要的租车费用支出，会议代表参加会议发生的城市间交通费，按照差旅费管理规定</w:t>
      </w:r>
      <w:proofErr w:type="gramStart"/>
      <w:r>
        <w:rPr>
          <w:rFonts w:asciiTheme="minorEastAsia" w:hAnsiTheme="minorEastAsia" w:cstheme="minorEastAsia" w:hint="eastAsia"/>
          <w:sz w:val="24"/>
        </w:rPr>
        <w:t>回所在</w:t>
      </w:r>
      <w:proofErr w:type="gramEnd"/>
      <w:r>
        <w:rPr>
          <w:rFonts w:asciiTheme="minorEastAsia" w:hAnsiTheme="minorEastAsia" w:cstheme="minorEastAsia" w:hint="eastAsia"/>
          <w:sz w:val="24"/>
        </w:rPr>
        <w:t>单位报销。文件印刷费是指与会议直接相关的讨论、交流、传达等会议文件材料印刷所发生的费用。会议费实行综合定额控制，综合定额标准是会议费开支的上限，各单位应在综合定额标准以内执行,各项费用之间可以调剂使用。一类会议综合定额为550元/天，二类会议综合定额为450元/天，三类会议综合定额为400元/天。各类会议严格按批准预算执行，按规定纳入政府采购。会议召开单位不得向参会人员收取会议费,不得以任何方式转嫁或摊派费用。具体要求及标准详见《杭州市市直机关会议、活动和培训管理规定》(市委办发〔2013〕104号)和《杭州市财政局关于印发杭州市直机关会议费管理规定的通知》（</w:t>
      </w:r>
      <w:proofErr w:type="gramStart"/>
      <w:r>
        <w:rPr>
          <w:rFonts w:asciiTheme="minorEastAsia" w:hAnsiTheme="minorEastAsia" w:cstheme="minorEastAsia" w:hint="eastAsia"/>
          <w:sz w:val="24"/>
        </w:rPr>
        <w:t>杭财行</w:t>
      </w:r>
      <w:proofErr w:type="gramEnd"/>
      <w:r>
        <w:rPr>
          <w:rFonts w:asciiTheme="minorEastAsia" w:hAnsiTheme="minorEastAsia" w:cstheme="minorEastAsia" w:hint="eastAsia"/>
          <w:sz w:val="24"/>
        </w:rPr>
        <w:t>〔2014〕96号)。  </w:t>
      </w:r>
      <w:r>
        <w:rPr>
          <w:rFonts w:asciiTheme="minorEastAsia" w:hAnsiTheme="minorEastAsia" w:cstheme="minorEastAsia" w:hint="eastAsia"/>
          <w:sz w:val="24"/>
        </w:rPr>
        <w:br/>
        <w:t xml:space="preserve">    培训费包括各单位开展培训直接发生的住宿费、伙食费、培训场地费、讲课费、培训资料费、交通费等各项费用支出。培训费实行分类综合定额标准，分项核定、总额控制，各项费用之间可以调剂使用。一类培训综合定额为450元/天，二类培训综合定额为400元/天。5天以内(含5天)的培训按照综合定额标准控制；5天以上的培训按照综合定额标准的80%（即一类和二类培训分别为每人每天360元和320元）控制，上述天数含报到和离开时间，报到和离开时间合计不得超过1天。各单位不得向培训对象收取培训费，不得以任何方式转嫁或摊派培训费用。具体要求及标准详见《杭州市市直机关会议、活动和培训管理规定》（市委办发〔2013〕104号)和《关于印发&lt;杭州市市直机关培训费管理规定&gt;的通知》(</w:t>
      </w:r>
      <w:proofErr w:type="gramStart"/>
      <w:r>
        <w:rPr>
          <w:rFonts w:asciiTheme="minorEastAsia" w:hAnsiTheme="minorEastAsia" w:cstheme="minorEastAsia" w:hint="eastAsia"/>
          <w:sz w:val="24"/>
        </w:rPr>
        <w:t>杭财行</w:t>
      </w:r>
      <w:proofErr w:type="gramEnd"/>
      <w:r>
        <w:rPr>
          <w:rFonts w:asciiTheme="minorEastAsia" w:hAnsiTheme="minorEastAsia" w:cstheme="minorEastAsia" w:hint="eastAsia"/>
          <w:sz w:val="24"/>
        </w:rPr>
        <w:t>〔2018〕3号)。</w:t>
      </w:r>
      <w:r>
        <w:rPr>
          <w:rFonts w:asciiTheme="minorEastAsia" w:hAnsiTheme="minorEastAsia" w:cstheme="minorEastAsia" w:hint="eastAsia"/>
          <w:sz w:val="24"/>
        </w:rPr>
        <w:br/>
        <w:t xml:space="preserve">    </w:t>
      </w:r>
      <w:r>
        <w:rPr>
          <w:rFonts w:asciiTheme="minorEastAsia" w:hAnsiTheme="minorEastAsia" w:cstheme="minorEastAsia" w:hint="eastAsia"/>
          <w:b/>
          <w:bCs/>
          <w:sz w:val="24"/>
        </w:rPr>
        <w:t>二、交通工具购置</w:t>
      </w:r>
      <w:r>
        <w:rPr>
          <w:rFonts w:asciiTheme="minorEastAsia" w:hAnsiTheme="minorEastAsia" w:cstheme="minorEastAsia" w:hint="eastAsia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lastRenderedPageBreak/>
        <w:t>   副厅级以上单位(含)一般公务用车配备排气量1.8升(含)以下、价格18万元以内的轿车，处级单位价格控制在16万元以内，其中机要通信用车配备排气量1.60升(含)以下、价格12万元以内的轿车。凡核定机要通信车辆编制的单位.原则上应配备新能源汽车，如采购本省(杭)产品牌新能源汽车的，同时可放宽排量和价格标准，但最高不能突破排量1.8(升)，价格18万元。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12座以下商务车配备标准为排气量2.5升(含)以下、价格25万元以内。如选购我省(市)产自主品牌商务车的，配置标准可提高到排气量在3.0升(含)以下、价格在30万元以内；12至24座中巴客车价格55万元以内；24座以上大客车价格65万元以内。皮卡工具车价格15万元以内。</w:t>
      </w:r>
      <w:r>
        <w:rPr>
          <w:rFonts w:asciiTheme="minorEastAsia" w:hAnsiTheme="minorEastAsia" w:cstheme="minorEastAsia" w:hint="eastAsia"/>
          <w:sz w:val="24"/>
        </w:rPr>
        <w:br/>
        <w:t xml:space="preserve">    一般执法执勤用车原则上应配备排气量在1.6升(含)以下、价格在12万元以内的轿车或其他小型客车。对拟直接</w:t>
      </w:r>
      <w:proofErr w:type="gramStart"/>
      <w:r>
        <w:rPr>
          <w:rFonts w:asciiTheme="minorEastAsia" w:hAnsiTheme="minorEastAsia" w:cstheme="minorEastAsia" w:hint="eastAsia"/>
          <w:sz w:val="24"/>
        </w:rPr>
        <w:t>选购杭产和</w:t>
      </w:r>
      <w:proofErr w:type="gramEnd"/>
      <w:r>
        <w:rPr>
          <w:rFonts w:asciiTheme="minorEastAsia" w:hAnsiTheme="minorEastAsia" w:cstheme="minorEastAsia" w:hint="eastAsia"/>
          <w:sz w:val="24"/>
        </w:rPr>
        <w:t>省内自主品牌汽车作为执法执勤用车的,排气量可放宽到1.8升。</w:t>
      </w:r>
      <w:r>
        <w:rPr>
          <w:rFonts w:asciiTheme="minorEastAsia" w:hAnsiTheme="minorEastAsia" w:cstheme="minorEastAsia" w:hint="eastAsia"/>
          <w:sz w:val="24"/>
        </w:rPr>
        <w:br/>
        <w:t xml:space="preserve">    </w:t>
      </w:r>
      <w:r>
        <w:rPr>
          <w:rFonts w:asciiTheme="minorEastAsia" w:hAnsiTheme="minorEastAsia" w:cstheme="minorEastAsia" w:hint="eastAsia"/>
          <w:b/>
          <w:bCs/>
          <w:sz w:val="24"/>
        </w:rPr>
        <w:t>三、房屋建筑物购建(基本建设标准)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多层框架结构的建筑价最高不超过2600元/平米；</w:t>
      </w:r>
      <w:r>
        <w:rPr>
          <w:rFonts w:asciiTheme="minorEastAsia" w:hAnsiTheme="minorEastAsia" w:cstheme="minorEastAsia" w:hint="eastAsia"/>
          <w:sz w:val="24"/>
        </w:rPr>
        <w:br/>
        <w:t>    高层(层高为7-14层)框架结构的建筑价最高不超过3400元/平米；</w:t>
      </w:r>
    </w:p>
    <w:p w:rsidR="0064285F" w:rsidRDefault="00021D7C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高层(层高为15-25层)框架剪力墙结构的建筑价最高不超过3800元/平米；</w:t>
      </w:r>
    </w:p>
    <w:p w:rsidR="0064285F" w:rsidRDefault="00021D7C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室内装修标准最高不超过500元/平米；</w:t>
      </w:r>
    </w:p>
    <w:p w:rsidR="0064285F" w:rsidRDefault="00021D7C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外墙(包括门窗等)最高不超过500元/平米；</w:t>
      </w:r>
    </w:p>
    <w:p w:rsidR="0064285F" w:rsidRDefault="00021D7C">
      <w:p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四、大型修缮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（一）房屋综合修缮套用综合标准: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办公室，最高不超过600元/平方米；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计算机房，最高不超过900元/平方米；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档案室，最高不超过600元/平方米；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门厅，最高不超过1200元/平方米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会议室,最高不超过1500元/平方米:</w:t>
      </w:r>
      <w:r>
        <w:rPr>
          <w:rFonts w:asciiTheme="minorEastAsia" w:hAnsiTheme="minorEastAsia" w:cstheme="minorEastAsia" w:hint="eastAsia"/>
          <w:sz w:val="24"/>
        </w:rPr>
        <w:br/>
        <w:t xml:space="preserve">    卫生间，最高不超过700元/平方米(不含洁具费用)；</w:t>
      </w:r>
    </w:p>
    <w:p w:rsidR="0064285F" w:rsidRDefault="00021D7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楼梯走廊，最高不超过500元/平方米。</w:t>
      </w:r>
      <w:r>
        <w:rPr>
          <w:rFonts w:asciiTheme="minorEastAsia" w:hAnsiTheme="minorEastAsia" w:cstheme="minorEastAsia" w:hint="eastAsia"/>
          <w:sz w:val="24"/>
        </w:rPr>
        <w:br/>
        <w:t xml:space="preserve">    （二）房屋单项修缮套用单项标准，不同分项部位、不同用材，适用不同标准。详见《杭州市市级行政单位办公用房修缮费用标准》&gt;(</w:t>
      </w:r>
      <w:proofErr w:type="gramStart"/>
      <w:r>
        <w:rPr>
          <w:rFonts w:asciiTheme="minorEastAsia" w:hAnsiTheme="minorEastAsia" w:cstheme="minorEastAsia" w:hint="eastAsia"/>
          <w:sz w:val="24"/>
        </w:rPr>
        <w:t>杭财基</w:t>
      </w:r>
      <w:proofErr w:type="gramEnd"/>
      <w:r>
        <w:rPr>
          <w:rFonts w:asciiTheme="minorEastAsia" w:hAnsiTheme="minorEastAsia" w:cstheme="minorEastAsia" w:hint="eastAsia"/>
          <w:sz w:val="24"/>
        </w:rPr>
        <w:t>〔2011〕622</w:t>
      </w:r>
      <w:r>
        <w:rPr>
          <w:rFonts w:asciiTheme="minorEastAsia" w:hAnsiTheme="minorEastAsia" w:cstheme="minorEastAsia" w:hint="eastAsia"/>
          <w:sz w:val="24"/>
        </w:rPr>
        <w:lastRenderedPageBreak/>
        <w:t>号)。</w:t>
      </w:r>
      <w:r>
        <w:rPr>
          <w:rFonts w:asciiTheme="minorEastAsia" w:hAnsiTheme="minorEastAsia" w:cstheme="minorEastAsia" w:hint="eastAsia"/>
          <w:sz w:val="24"/>
        </w:rPr>
        <w:br/>
        <w:t xml:space="preserve">    </w:t>
      </w:r>
      <w:r>
        <w:rPr>
          <w:rFonts w:asciiTheme="minorEastAsia" w:hAnsiTheme="minorEastAsia" w:cstheme="minorEastAsia" w:hint="eastAsia"/>
          <w:b/>
          <w:bCs/>
          <w:sz w:val="24"/>
        </w:rPr>
        <w:t>五、信息化项目运</w:t>
      </w:r>
      <w:proofErr w:type="gramStart"/>
      <w:r>
        <w:rPr>
          <w:rFonts w:asciiTheme="minorEastAsia" w:hAnsiTheme="minorEastAsia" w:cstheme="minorEastAsia" w:hint="eastAsia"/>
          <w:b/>
          <w:bCs/>
          <w:sz w:val="24"/>
        </w:rPr>
        <w:t>维经费</w:t>
      </w:r>
      <w:proofErr w:type="gramEnd"/>
      <w:r>
        <w:rPr>
          <w:rFonts w:asciiTheme="minorEastAsia" w:hAnsiTheme="minorEastAsia" w:cstheme="minorEastAsia" w:hint="eastAsia"/>
          <w:sz w:val="24"/>
        </w:rPr>
        <w:br/>
        <w:t xml:space="preserve">    设定硬件资产运维费、软件资产运维费两类定额。2018年开始由市城管委、市</w:t>
      </w:r>
      <w:proofErr w:type="gramStart"/>
      <w:r>
        <w:rPr>
          <w:rFonts w:asciiTheme="minorEastAsia" w:hAnsiTheme="minorEastAsia" w:cstheme="minorEastAsia" w:hint="eastAsia"/>
          <w:sz w:val="24"/>
        </w:rPr>
        <w:t>人社局</w:t>
      </w:r>
      <w:proofErr w:type="gramEnd"/>
      <w:r>
        <w:rPr>
          <w:rFonts w:asciiTheme="minorEastAsia" w:hAnsiTheme="minorEastAsia" w:cstheme="minorEastAsia" w:hint="eastAsia"/>
          <w:sz w:val="24"/>
        </w:rPr>
        <w:t>、市公安局、市委党校、市交警支队、市教育技术中心6家单位试行上述两类资产参考资产原值的一定比例进行标准化编制。</w:t>
      </w:r>
      <w:r>
        <w:rPr>
          <w:rFonts w:asciiTheme="minorEastAsia" w:hAnsiTheme="minorEastAsia" w:cstheme="minorEastAsia" w:hint="eastAsia"/>
          <w:sz w:val="24"/>
        </w:rPr>
        <w:br/>
        <w:t xml:space="preserve">    硬件资产:包括PC服务器、安全设备、存储备份设备、网络设备、小型机、其它在用通用设备等，为杭州市资产管理系统在用资产原值的5%，已使用年限不足3年的为4%。</w:t>
      </w:r>
      <w:r>
        <w:rPr>
          <w:rFonts w:asciiTheme="minorEastAsia" w:hAnsiTheme="minorEastAsia" w:cstheme="minorEastAsia" w:hint="eastAsia"/>
          <w:sz w:val="24"/>
        </w:rPr>
        <w:br/>
        <w:t xml:space="preserve">    软件资产:包括操作系统、数据库、应用软件、中间件等，为杭州市资产管理系统在用资产原值的9%,已使用年限不足3年的为8%。</w:t>
      </w:r>
      <w:r>
        <w:rPr>
          <w:rFonts w:asciiTheme="minorEastAsia" w:hAnsiTheme="minorEastAsia" w:cstheme="minorEastAsia" w:hint="eastAsia"/>
          <w:sz w:val="24"/>
        </w:rPr>
        <w:br/>
        <w:t xml:space="preserve">    试点单位上述两类信息化运</w:t>
      </w:r>
      <w:proofErr w:type="gramStart"/>
      <w:r>
        <w:rPr>
          <w:rFonts w:asciiTheme="minorEastAsia" w:hAnsiTheme="minorEastAsia" w:cstheme="minorEastAsia" w:hint="eastAsia"/>
          <w:sz w:val="24"/>
        </w:rPr>
        <w:t>维经费</w:t>
      </w:r>
      <w:proofErr w:type="gramEnd"/>
      <w:r>
        <w:rPr>
          <w:rFonts w:asciiTheme="minorEastAsia" w:hAnsiTheme="minorEastAsia" w:cstheme="minorEastAsia" w:hint="eastAsia"/>
          <w:sz w:val="24"/>
        </w:rPr>
        <w:t>按不高于分类标准编制,实行总额包干，其他信息化运</w:t>
      </w:r>
      <w:proofErr w:type="gramStart"/>
      <w:r>
        <w:rPr>
          <w:rFonts w:asciiTheme="minorEastAsia" w:hAnsiTheme="minorEastAsia" w:cstheme="minorEastAsia" w:hint="eastAsia"/>
          <w:sz w:val="24"/>
        </w:rPr>
        <w:t>维经费</w:t>
      </w:r>
      <w:proofErr w:type="gramEnd"/>
      <w:r>
        <w:rPr>
          <w:rFonts w:asciiTheme="minorEastAsia" w:hAnsiTheme="minorEastAsia" w:cstheme="minorEastAsia" w:hint="eastAsia"/>
          <w:sz w:val="24"/>
        </w:rPr>
        <w:t>仍按实编制。非试点单位实行参考资产原值的一定比例进行专项审核。</w:t>
      </w:r>
      <w:r>
        <w:rPr>
          <w:rFonts w:asciiTheme="minorEastAsia" w:hAnsiTheme="minorEastAsia" w:cstheme="minorEastAsia" w:hint="eastAsia"/>
          <w:sz w:val="24"/>
        </w:rPr>
        <w:br/>
        <w:t xml:space="preserve">    </w:t>
      </w:r>
      <w:r>
        <w:rPr>
          <w:rFonts w:asciiTheme="minorEastAsia" w:hAnsiTheme="minorEastAsia" w:cstheme="minorEastAsia" w:hint="eastAsia"/>
          <w:b/>
          <w:bCs/>
          <w:sz w:val="24"/>
        </w:rPr>
        <w:t>六、劳务费和咨询费</w:t>
      </w:r>
      <w:r>
        <w:rPr>
          <w:rFonts w:asciiTheme="minorEastAsia" w:hAnsiTheme="minorEastAsia" w:cstheme="minorEastAsia" w:hint="eastAsia"/>
          <w:sz w:val="24"/>
        </w:rPr>
        <w:br/>
        <w:t xml:space="preserve">    2019年预算编制起,支付给外单位和个人的劳务费用,包括购买服务方式安排的编外临时聘用人员经费、讲课费、评审费、稿费、翻译费和其他劳务费，应使用“劳务费”经济科目,按规定的分类标准详细测算并申报预算。支付给外单位和个人的咨询方面经费,使用“咨询费”经济科目，其中支付给个人的咨询费与评审</w:t>
      </w:r>
      <w:proofErr w:type="gramStart"/>
      <w:r>
        <w:rPr>
          <w:rFonts w:asciiTheme="minorEastAsia" w:hAnsiTheme="minorEastAsia" w:cstheme="minorEastAsia" w:hint="eastAsia"/>
          <w:sz w:val="24"/>
        </w:rPr>
        <w:t>费执行</w:t>
      </w:r>
      <w:proofErr w:type="gramEnd"/>
      <w:r>
        <w:rPr>
          <w:rFonts w:asciiTheme="minorEastAsia" w:hAnsiTheme="minorEastAsia" w:cstheme="minorEastAsia" w:hint="eastAsia"/>
          <w:sz w:val="24"/>
        </w:rPr>
        <w:t>同一标准。具体标准如下:</w:t>
      </w:r>
    </w:p>
    <w:p w:rsidR="0064285F" w:rsidRDefault="00021D7C">
      <w:pPr>
        <w:spacing w:line="360" w:lineRule="auto"/>
        <w:ind w:firstLineChars="200" w:firstLine="480"/>
      </w:pPr>
      <w:r>
        <w:rPr>
          <w:rFonts w:asciiTheme="minorEastAsia" w:hAnsiTheme="minorEastAsia" w:cstheme="minorEastAsia" w:hint="eastAsia"/>
          <w:sz w:val="24"/>
        </w:rPr>
        <w:t>(1)讲课费。中级技术职称及以下专业人员每学时最高不超过300元。副高级技术职称专业人员每学时最高不超过500元。正高级技术职称专业人员每学时最高不超过1000元。院士、全国知名专家每学时一般不超过1500元。每半天最多按四学时计算。</w:t>
      </w:r>
      <w:r>
        <w:rPr>
          <w:rFonts w:asciiTheme="minorEastAsia" w:hAnsiTheme="minorEastAsia" w:cstheme="minorEastAsia" w:hint="eastAsia"/>
          <w:sz w:val="24"/>
        </w:rPr>
        <w:br/>
        <w:t xml:space="preserve">    (2)评审费及咨询费。中级技术职称及以下专业人员每天不超过500元。副高级技术职称专业人员每天不超过800元。正高级技术职称专业人员每天不超过1600元。院士、全国知名专家每天不超过2400元。政府采购专家评审费按其原有标准执行。</w:t>
      </w:r>
      <w:r>
        <w:rPr>
          <w:rFonts w:asciiTheme="minorEastAsia" w:hAnsiTheme="minorEastAsia" w:cstheme="minorEastAsia" w:hint="eastAsia"/>
          <w:sz w:val="24"/>
        </w:rPr>
        <w:br/>
        <w:t xml:space="preserve">    (3)稿费。原创作品每千字不超过300元。演绎作品,改编每千字不超过100元,汇编每千字不超过20元，翻译每千字不超过200元。除上述文字类作品稿费</w:t>
      </w:r>
      <w:r>
        <w:rPr>
          <w:rFonts w:asciiTheme="minorEastAsia" w:hAnsiTheme="minorEastAsia" w:cstheme="minorEastAsia" w:hint="eastAsia"/>
          <w:sz w:val="24"/>
        </w:rPr>
        <w:lastRenderedPageBreak/>
        <w:t>外,音频类、歌曲创作类、设计类等其他作品稿费按市场价确定。</w:t>
      </w:r>
      <w:r>
        <w:rPr>
          <w:rFonts w:asciiTheme="minorEastAsia" w:hAnsiTheme="minorEastAsia" w:cstheme="minorEastAsia" w:hint="eastAsia"/>
          <w:sz w:val="24"/>
        </w:rPr>
        <w:br/>
        <w:t xml:space="preserve">    (4)翻译费。同声传译每人每半天不超过5000元。其他翻译劳务(不含文字翻译)每人每半天不超过1500元。</w:t>
      </w:r>
      <w:r>
        <w:rPr>
          <w:rFonts w:asciiTheme="minorEastAsia" w:hAnsiTheme="minorEastAsia" w:cstheme="minorEastAsia" w:hint="eastAsia"/>
          <w:sz w:val="24"/>
        </w:rPr>
        <w:br/>
        <w:t xml:space="preserve">    (5)其他一次性劳务。按不超过每人每天或每项劳务240元,或每人每小时30元计算。</w:t>
      </w:r>
      <w:r>
        <w:rPr>
          <w:rFonts w:asciiTheme="minorEastAsia" w:hAnsiTheme="minorEastAsia" w:cstheme="minorEastAsia" w:hint="eastAsia"/>
          <w:sz w:val="24"/>
        </w:rPr>
        <w:br/>
      </w:r>
      <w:r>
        <w:rPr>
          <w:rFonts w:ascii="宋体" w:eastAsia="宋体" w:hAnsi="宋体" w:cs="宋体"/>
          <w:kern w:val="0"/>
          <w:sz w:val="24"/>
          <w:lang w:bidi="ar"/>
        </w:rPr>
        <w:br/>
      </w:r>
    </w:p>
    <w:p w:rsidR="0064285F" w:rsidRDefault="00021D7C">
      <w:pPr>
        <w:widowControl/>
        <w:spacing w:after="240"/>
        <w:jc w:val="left"/>
      </w:pPr>
      <w:r>
        <w:rPr>
          <w:rFonts w:ascii="宋体" w:eastAsia="宋体" w:hAnsi="宋体" w:cs="宋体"/>
          <w:kern w:val="0"/>
          <w:sz w:val="24"/>
          <w:lang w:bidi="ar"/>
        </w:rPr>
        <w:br/>
      </w:r>
      <w:r>
        <w:rPr>
          <w:rFonts w:ascii="宋体" w:eastAsia="宋体" w:hAnsi="宋体" w:cs="宋体"/>
          <w:kern w:val="0"/>
          <w:sz w:val="24"/>
          <w:lang w:bidi="ar"/>
        </w:rPr>
        <w:br/>
      </w:r>
      <w:r>
        <w:rPr>
          <w:rFonts w:ascii="宋体" w:eastAsia="宋体" w:hAnsi="宋体" w:cs="宋体"/>
          <w:kern w:val="0"/>
          <w:sz w:val="24"/>
          <w:lang w:bidi="ar"/>
        </w:rPr>
        <w:br/>
      </w:r>
    </w:p>
    <w:p w:rsidR="0064285F" w:rsidRDefault="00021D7C">
      <w:pPr>
        <w:widowControl/>
        <w:spacing w:after="240"/>
        <w:jc w:val="left"/>
      </w:pPr>
      <w:r>
        <w:rPr>
          <w:rFonts w:ascii="宋体" w:eastAsia="宋体" w:hAnsi="宋体" w:cs="宋体"/>
          <w:kern w:val="0"/>
          <w:sz w:val="24"/>
          <w:lang w:bidi="ar"/>
        </w:rPr>
        <w:br/>
      </w:r>
    </w:p>
    <w:p w:rsidR="0064285F" w:rsidRDefault="0064285F"/>
    <w:p w:rsidR="0064285F" w:rsidRDefault="0064285F"/>
    <w:p w:rsidR="0064285F" w:rsidRDefault="0064285F"/>
    <w:p w:rsidR="0064285F" w:rsidRDefault="0064285F"/>
    <w:sectPr w:rsidR="0064285F" w:rsidSect="007D42DA">
      <w:footerReference w:type="default" r:id="rId8"/>
      <w:pgSz w:w="11906" w:h="16838"/>
      <w:pgMar w:top="1440" w:right="1800" w:bottom="1440" w:left="1800" w:header="851" w:footer="992" w:gutter="0"/>
      <w:pgNumType w:start="7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C25" w:rsidRDefault="00E31C25" w:rsidP="00351318">
      <w:r>
        <w:separator/>
      </w:r>
    </w:p>
  </w:endnote>
  <w:endnote w:type="continuationSeparator" w:id="0">
    <w:p w:rsidR="00E31C25" w:rsidRDefault="00E31C25" w:rsidP="0035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646974"/>
      <w:docPartObj>
        <w:docPartGallery w:val="Page Numbers (Bottom of Page)"/>
        <w:docPartUnique/>
      </w:docPartObj>
    </w:sdtPr>
    <w:sdtContent>
      <w:p w:rsidR="007D42DA" w:rsidRDefault="007D42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D42DA">
          <w:rPr>
            <w:noProof/>
            <w:lang w:val="zh-CN"/>
          </w:rPr>
          <w:t>79</w:t>
        </w:r>
        <w:r>
          <w:fldChar w:fldCharType="end"/>
        </w:r>
      </w:p>
    </w:sdtContent>
  </w:sdt>
  <w:p w:rsidR="007D42DA" w:rsidRDefault="007D42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C25" w:rsidRDefault="00E31C25" w:rsidP="00351318">
      <w:r>
        <w:separator/>
      </w:r>
    </w:p>
  </w:footnote>
  <w:footnote w:type="continuationSeparator" w:id="0">
    <w:p w:rsidR="00E31C25" w:rsidRDefault="00E31C25" w:rsidP="00351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04D03"/>
    <w:rsid w:val="00021D7C"/>
    <w:rsid w:val="00351318"/>
    <w:rsid w:val="005F02F2"/>
    <w:rsid w:val="0064285F"/>
    <w:rsid w:val="007D42DA"/>
    <w:rsid w:val="00C03C34"/>
    <w:rsid w:val="00E31C25"/>
    <w:rsid w:val="1C476EE9"/>
    <w:rsid w:val="20C04D03"/>
    <w:rsid w:val="77A3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51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131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51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318"/>
    <w:rPr>
      <w:kern w:val="2"/>
      <w:sz w:val="18"/>
      <w:szCs w:val="18"/>
    </w:rPr>
  </w:style>
  <w:style w:type="paragraph" w:styleId="a5">
    <w:name w:val="Balloon Text"/>
    <w:basedOn w:val="a"/>
    <w:link w:val="Char1"/>
    <w:rsid w:val="00351318"/>
    <w:rPr>
      <w:sz w:val="18"/>
      <w:szCs w:val="18"/>
    </w:rPr>
  </w:style>
  <w:style w:type="character" w:customStyle="1" w:styleId="Char1">
    <w:name w:val="批注框文本 Char"/>
    <w:basedOn w:val="a0"/>
    <w:link w:val="a5"/>
    <w:rsid w:val="0035131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51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131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51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318"/>
    <w:rPr>
      <w:kern w:val="2"/>
      <w:sz w:val="18"/>
      <w:szCs w:val="18"/>
    </w:rPr>
  </w:style>
  <w:style w:type="paragraph" w:styleId="a5">
    <w:name w:val="Balloon Text"/>
    <w:basedOn w:val="a"/>
    <w:link w:val="Char1"/>
    <w:rsid w:val="00351318"/>
    <w:rPr>
      <w:sz w:val="18"/>
      <w:szCs w:val="18"/>
    </w:rPr>
  </w:style>
  <w:style w:type="character" w:customStyle="1" w:styleId="Char1">
    <w:name w:val="批注框文本 Char"/>
    <w:basedOn w:val="a0"/>
    <w:link w:val="a5"/>
    <w:rsid w:val="003513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389</Words>
  <Characters>2223</Characters>
  <Application>Microsoft Office Word</Application>
  <DocSecurity>0</DocSecurity>
  <Lines>18</Lines>
  <Paragraphs>5</Paragraphs>
  <ScaleCrop>false</ScaleCrop>
  <Company>微软中国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小颖子</dc:creator>
  <cp:lastModifiedBy>微软用户</cp:lastModifiedBy>
  <cp:revision>4</cp:revision>
  <cp:lastPrinted>2019-06-12T06:48:00Z</cp:lastPrinted>
  <dcterms:created xsi:type="dcterms:W3CDTF">2019-06-05T06:18:00Z</dcterms:created>
  <dcterms:modified xsi:type="dcterms:W3CDTF">2019-06-20T06:55:00Z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